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DC6A" w14:textId="2580FCCC" w:rsidR="003C3793" w:rsidRDefault="003C3793" w:rsidP="0079270B">
      <w:pPr>
        <w:pStyle w:val="Heading1"/>
        <w:spacing w:after="0"/>
        <w:jc w:val="center"/>
      </w:pPr>
      <w:r>
        <w:t>Cancer Board Paper</w:t>
      </w:r>
    </w:p>
    <w:p w14:paraId="115A872B" w14:textId="77777777" w:rsidR="003C3793" w:rsidRDefault="0079270B" w:rsidP="0079270B">
      <w:pPr>
        <w:pStyle w:val="Heading3"/>
      </w:pPr>
      <w:r w:rsidRPr="0042149F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F5664"/>
        <w:tblLook w:val="04A0" w:firstRow="1" w:lastRow="0" w:firstColumn="1" w:lastColumn="0" w:noHBand="0" w:noVBand="1"/>
      </w:tblPr>
      <w:tblGrid>
        <w:gridCol w:w="1792"/>
        <w:gridCol w:w="8170"/>
      </w:tblGrid>
      <w:tr w:rsidR="003C3793" w:rsidRPr="003C3793" w14:paraId="39DB97A7" w14:textId="77777777" w:rsidTr="003C3793">
        <w:trPr>
          <w:trHeight w:val="431"/>
          <w:jc w:val="center"/>
        </w:trPr>
        <w:tc>
          <w:tcPr>
            <w:tcW w:w="1792" w:type="dxa"/>
            <w:shd w:val="clear" w:color="auto" w:fill="FFFFFF"/>
          </w:tcPr>
          <w:p w14:paraId="454EE3AC" w14:textId="3515C4DC" w:rsidR="003C3793" w:rsidRPr="003C3793" w:rsidRDefault="003C3793" w:rsidP="000E5146">
            <w:pPr>
              <w:contextualSpacing/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Title of paper:</w:t>
            </w:r>
          </w:p>
        </w:tc>
        <w:tc>
          <w:tcPr>
            <w:tcW w:w="8170" w:type="dxa"/>
            <w:shd w:val="clear" w:color="auto" w:fill="FFFFFF"/>
          </w:tcPr>
          <w:p w14:paraId="7E811A51" w14:textId="05413A5F" w:rsidR="003C3793" w:rsidRPr="003C3793" w:rsidRDefault="0079589B" w:rsidP="000E514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Early Cancer Diagnosis Strategy for Greater Manchester</w:t>
            </w:r>
            <w:r w:rsidR="00432AAA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3C3793" w:rsidRPr="003C3793" w14:paraId="19A939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855AFD2" w14:textId="2BE7EDA3" w:rsidR="003C3793" w:rsidRPr="003C3793" w:rsidRDefault="003C3793" w:rsidP="000E5146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Purpose of the paper:</w:t>
            </w:r>
          </w:p>
        </w:tc>
        <w:tc>
          <w:tcPr>
            <w:tcW w:w="8170" w:type="dxa"/>
            <w:shd w:val="clear" w:color="auto" w:fill="FFFFFF"/>
          </w:tcPr>
          <w:p w14:paraId="1354D269" w14:textId="13BC612A" w:rsidR="003C3793" w:rsidRDefault="0079589B" w:rsidP="000E5146">
            <w:pPr>
              <w:contextualSpacing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 seek Board approval of the attached GM strategy for early cancer diagnosis.</w:t>
            </w:r>
          </w:p>
          <w:p w14:paraId="4A46D013" w14:textId="7B8A4855" w:rsidR="00432AAA" w:rsidRPr="003C3793" w:rsidRDefault="00432AAA" w:rsidP="000E5146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5CFE912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1503C7D" w14:textId="632BCA1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Summary outline of main points / highlights / issues</w:t>
            </w:r>
          </w:p>
        </w:tc>
        <w:tc>
          <w:tcPr>
            <w:tcW w:w="8170" w:type="dxa"/>
            <w:shd w:val="clear" w:color="auto" w:fill="FFFFFF"/>
          </w:tcPr>
          <w:p w14:paraId="5163CE02" w14:textId="08A0207A" w:rsidR="0079589B" w:rsidRPr="0079589B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9589B">
              <w:rPr>
                <w:rFonts w:asciiTheme="majorHAnsi" w:hAnsiTheme="majorHAnsi" w:cstheme="majorHAnsi"/>
              </w:rPr>
              <w:t>Improvements in the rate of early diagnosis have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been seen over the past five years, at both Greater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Manchester and England levels. Rates in Greater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 xml:space="preserve">Manchester </w:t>
            </w:r>
            <w:r>
              <w:rPr>
                <w:rFonts w:asciiTheme="majorHAnsi" w:hAnsiTheme="majorHAnsi" w:cstheme="majorHAnsi"/>
              </w:rPr>
              <w:t>i</w:t>
            </w:r>
            <w:r w:rsidRPr="0079589B">
              <w:rPr>
                <w:rFonts w:asciiTheme="majorHAnsi" w:hAnsiTheme="majorHAnsi" w:cstheme="majorHAnsi"/>
              </w:rPr>
              <w:t>ncreased from 53.2% in August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2021 to 58.3% in July 2024, and the gap between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Greater Manchester’s and England’s average is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reducing. Seeing further progress in this rate isa core priority of NHS England, which has set an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ambition of 75% of cancers being diagnosed at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stages 1 and 2.</w:t>
            </w:r>
          </w:p>
          <w:p w14:paraId="790237B3" w14:textId="77777777" w:rsidR="0079589B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4BD8BF29" w14:textId="15EFDB75" w:rsidR="0079589B" w:rsidRPr="0079589B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9589B">
              <w:rPr>
                <w:rFonts w:asciiTheme="majorHAnsi" w:hAnsiTheme="majorHAnsi" w:cstheme="majorHAnsi"/>
              </w:rPr>
              <w:t>This is an actionable strategy to improve rates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of early diagnosis for the population of Greater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Manchester over the next five years.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We serve a population of nearly three million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people. Greater Manchester is an area of great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diversity, with substantial ranges of socio-economic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status, population structure and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Pr="0079589B">
              <w:rPr>
                <w:rFonts w:asciiTheme="majorHAnsi" w:hAnsiTheme="majorHAnsi" w:cstheme="majorHAnsi"/>
              </w:rPr>
              <w:t>emographics.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This strategy explores the potential for earlier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diagnosis of cancer across Greater Manchester and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identifies priorities and the next steps needed to</w:t>
            </w:r>
          </w:p>
          <w:p w14:paraId="2902620B" w14:textId="77777777" w:rsidR="003C3793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9589B">
              <w:rPr>
                <w:rFonts w:asciiTheme="majorHAnsi" w:hAnsiTheme="majorHAnsi" w:cstheme="majorHAnsi"/>
              </w:rPr>
              <w:t>achieve this goal.</w:t>
            </w:r>
          </w:p>
          <w:p w14:paraId="2459B3E8" w14:textId="77777777" w:rsidR="0079589B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7AB08C52" w14:textId="77777777" w:rsidR="0079589B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9589B">
              <w:rPr>
                <w:rFonts w:asciiTheme="majorHAnsi" w:hAnsiTheme="majorHAnsi" w:cstheme="majorHAnsi"/>
                <w:b/>
                <w:bCs/>
              </w:rPr>
              <w:t>Our vision for Greater Manchester is simple,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9589B">
              <w:rPr>
                <w:rFonts w:asciiTheme="majorHAnsi" w:hAnsiTheme="majorHAnsi" w:cstheme="majorHAnsi"/>
                <w:b/>
                <w:bCs/>
              </w:rPr>
              <w:t xml:space="preserve">yet profound: </w:t>
            </w:r>
            <w:r w:rsidRPr="0079589B">
              <w:rPr>
                <w:rFonts w:asciiTheme="majorHAnsi" w:hAnsiTheme="majorHAnsi" w:cstheme="majorHAnsi"/>
              </w:rPr>
              <w:t>a future where everyone with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cancer receives equitable and timely early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diagnosis. We want to ensure that every person,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regardless of their background or where they live,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has access to the highest standard of care from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the moment they first seek help. By raising public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awareness, addressing health inequalities, and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fostering a culture of collaboration and innovation,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we believe we can achieve this vision and make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9589B">
              <w:rPr>
                <w:rFonts w:asciiTheme="majorHAnsi" w:hAnsiTheme="majorHAnsi" w:cstheme="majorHAnsi"/>
              </w:rPr>
              <w:t>a significant difference to the lives of many.</w:t>
            </w:r>
          </w:p>
          <w:p w14:paraId="6E2D5ABA" w14:textId="2F44B5EA" w:rsidR="0079589B" w:rsidRPr="003C3793" w:rsidRDefault="0079589B" w:rsidP="0079589B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4B1EACB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2D142BB6" w14:textId="21F55C7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Consulted</w:t>
            </w:r>
          </w:p>
        </w:tc>
        <w:tc>
          <w:tcPr>
            <w:tcW w:w="8170" w:type="dxa"/>
            <w:shd w:val="clear" w:color="auto" w:fill="FFFFFF"/>
          </w:tcPr>
          <w:p w14:paraId="79DDC014" w14:textId="51A75D2B" w:rsidR="0050633F" w:rsidRPr="0050633F" w:rsidRDefault="0079589B" w:rsidP="007958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GM Early Diagnosis Programme Board</w:t>
            </w:r>
          </w:p>
        </w:tc>
      </w:tr>
      <w:tr w:rsidR="003C3793" w:rsidRPr="003C3793" w14:paraId="6BC2D8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7904D024" w14:textId="5CE99906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Author of paper and contact details</w:t>
            </w:r>
          </w:p>
        </w:tc>
        <w:tc>
          <w:tcPr>
            <w:tcW w:w="8170" w:type="dxa"/>
            <w:shd w:val="clear" w:color="auto" w:fill="FFFFFF"/>
          </w:tcPr>
          <w:p w14:paraId="1C35DEA8" w14:textId="4711B43A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Name: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79589B">
              <w:rPr>
                <w:rFonts w:asciiTheme="majorHAnsi" w:eastAsia="Times New Roman" w:hAnsiTheme="majorHAnsi" w:cstheme="majorHAnsi"/>
                <w:bCs/>
                <w:color w:val="000000"/>
              </w:rPr>
              <w:t>Alison Jones</w:t>
            </w:r>
          </w:p>
          <w:p w14:paraId="59AB86CE" w14:textId="030D4BCA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Title: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79589B">
              <w:rPr>
                <w:rFonts w:asciiTheme="majorHAnsi" w:eastAsia="Times New Roman" w:hAnsiTheme="majorHAnsi" w:cstheme="majorHAnsi"/>
                <w:bCs/>
                <w:color w:val="000000"/>
              </w:rPr>
              <w:t>Director of Commissioning and Early Cancer Diagnosis</w:t>
            </w:r>
          </w:p>
          <w:p w14:paraId="48B1E59F" w14:textId="4C8225AB" w:rsidR="003C3793" w:rsidRPr="003C3793" w:rsidRDefault="003C3793" w:rsidP="003C3793">
            <w:pPr>
              <w:contextualSpacing/>
              <w:rPr>
                <w:rFonts w:asciiTheme="majorHAnsi" w:hAnsiTheme="majorHAnsi" w:cstheme="majorHAnsi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Email: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hyperlink r:id="rId7" w:history="1">
              <w:r w:rsidR="0079589B" w:rsidRPr="008D74D6">
                <w:rPr>
                  <w:rStyle w:val="Hyperlink"/>
                </w:rPr>
                <w:t>alison.jones8@nhs.net</w:t>
              </w:r>
            </w:hyperlink>
            <w:r w:rsidR="0079589B">
              <w:t xml:space="preserve"> </w:t>
            </w:r>
          </w:p>
        </w:tc>
      </w:tr>
    </w:tbl>
    <w:p w14:paraId="230764E1" w14:textId="50893D2E" w:rsidR="003C3793" w:rsidRPr="003C3793" w:rsidRDefault="003C3793">
      <w:pPr>
        <w:spacing w:after="0" w:line="240" w:lineRule="auto"/>
        <w:rPr>
          <w:rFonts w:asciiTheme="majorHAnsi" w:hAnsiTheme="majorHAnsi" w:cstheme="majorHAnsi"/>
        </w:rPr>
      </w:pPr>
    </w:p>
    <w:sectPr w:rsidR="003C3793" w:rsidRPr="003C3793" w:rsidSect="003C379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964" w:bottom="1418" w:left="964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F730" w14:textId="77777777" w:rsidR="00967313" w:rsidRDefault="00967313" w:rsidP="008D2025">
      <w:pPr>
        <w:spacing w:after="0" w:line="240" w:lineRule="auto"/>
      </w:pPr>
      <w:r>
        <w:separator/>
      </w:r>
    </w:p>
  </w:endnote>
  <w:endnote w:type="continuationSeparator" w:id="0">
    <w:p w14:paraId="2ADFB770" w14:textId="77777777" w:rsidR="00967313" w:rsidRDefault="00967313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F709" w14:textId="77777777" w:rsidR="00012839" w:rsidRDefault="004332A3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653F7856" wp14:editId="4EF87141">
          <wp:simplePos x="0" y="0"/>
          <wp:positionH relativeFrom="column">
            <wp:posOffset>3907155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1494732860" name="Picture 1494732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5B0C">
      <w:rPr>
        <w:noProof/>
      </w:rPr>
      <w:drawing>
        <wp:anchor distT="0" distB="0" distL="114300" distR="114300" simplePos="0" relativeHeight="251670528" behindDoc="1" locked="0" layoutInCell="1" allowOverlap="1" wp14:anchorId="2C1DA7AD" wp14:editId="08B66241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1216683404" name="Picture 1216683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E5C3" w14:textId="77777777" w:rsidR="000618FE" w:rsidRDefault="000618FE">
    <w:pPr>
      <w:pStyle w:val="Foot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57366A44" wp14:editId="5D97A15F">
          <wp:simplePos x="0" y="0"/>
          <wp:positionH relativeFrom="page">
            <wp:posOffset>-323850</wp:posOffset>
          </wp:positionH>
          <wp:positionV relativeFrom="paragraph">
            <wp:posOffset>-381000</wp:posOffset>
          </wp:positionV>
          <wp:extent cx="2675890" cy="967740"/>
          <wp:effectExtent l="0" t="0" r="0" b="3810"/>
          <wp:wrapNone/>
          <wp:docPr id="1551052373" name="Picture 1551052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1D169E38" wp14:editId="07C0829E">
          <wp:simplePos x="0" y="0"/>
          <wp:positionH relativeFrom="page">
            <wp:align>right</wp:align>
          </wp:positionH>
          <wp:positionV relativeFrom="paragraph">
            <wp:posOffset>-2200275</wp:posOffset>
          </wp:positionV>
          <wp:extent cx="3276600" cy="3035300"/>
          <wp:effectExtent l="0" t="0" r="0" b="0"/>
          <wp:wrapNone/>
          <wp:docPr id="1724002386" name="Picture 1724002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7920" w14:textId="77777777" w:rsidR="00967313" w:rsidRDefault="00967313" w:rsidP="008D2025">
      <w:pPr>
        <w:spacing w:after="0" w:line="240" w:lineRule="auto"/>
      </w:pPr>
      <w:r>
        <w:separator/>
      </w:r>
    </w:p>
  </w:footnote>
  <w:footnote w:type="continuationSeparator" w:id="0">
    <w:p w14:paraId="713D196B" w14:textId="77777777" w:rsidR="00967313" w:rsidRDefault="00967313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B5D8" w14:textId="77777777" w:rsidR="00012839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194F35C" wp14:editId="4A48C878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766153234" name="Picture 1766153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0BF3" w14:textId="77777777" w:rsidR="000618FE" w:rsidRDefault="000618FE">
    <w:pPr>
      <w:pStyle w:val="Head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57E41940" wp14:editId="64A98A95">
          <wp:simplePos x="0" y="0"/>
          <wp:positionH relativeFrom="page">
            <wp:align>right</wp:align>
          </wp:positionH>
          <wp:positionV relativeFrom="paragraph">
            <wp:posOffset>-38100</wp:posOffset>
          </wp:positionV>
          <wp:extent cx="3023235" cy="1266825"/>
          <wp:effectExtent l="0" t="0" r="0" b="0"/>
          <wp:wrapTopAndBottom/>
          <wp:docPr id="1288229407" name="Picture 1288229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806"/>
                  <a:stretch/>
                </pic:blipFill>
                <pic:spPr bwMode="auto">
                  <a:xfrm>
                    <a:off x="0" y="0"/>
                    <a:ext cx="3024000" cy="12668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5D25"/>
    <w:multiLevelType w:val="hybridMultilevel"/>
    <w:tmpl w:val="016E3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B14F2"/>
    <w:multiLevelType w:val="hybridMultilevel"/>
    <w:tmpl w:val="AEC2CAFE"/>
    <w:lvl w:ilvl="0" w:tplc="D562D2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A4413"/>
    <w:multiLevelType w:val="hybridMultilevel"/>
    <w:tmpl w:val="238C3E50"/>
    <w:lvl w:ilvl="0" w:tplc="0D88A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02718"/>
    <w:multiLevelType w:val="hybridMultilevel"/>
    <w:tmpl w:val="91D2A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17577"/>
    <w:multiLevelType w:val="hybridMultilevel"/>
    <w:tmpl w:val="214CAF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8535765">
    <w:abstractNumId w:val="1"/>
  </w:num>
  <w:num w:numId="2" w16cid:durableId="100339959">
    <w:abstractNumId w:val="4"/>
  </w:num>
  <w:num w:numId="3" w16cid:durableId="1257012799">
    <w:abstractNumId w:val="3"/>
  </w:num>
  <w:num w:numId="4" w16cid:durableId="586813143">
    <w:abstractNumId w:val="2"/>
  </w:num>
  <w:num w:numId="5" w16cid:durableId="19431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13"/>
    <w:rsid w:val="00012839"/>
    <w:rsid w:val="000618FE"/>
    <w:rsid w:val="00073DF7"/>
    <w:rsid w:val="000C20A8"/>
    <w:rsid w:val="000E54C1"/>
    <w:rsid w:val="00134AFB"/>
    <w:rsid w:val="001C78F1"/>
    <w:rsid w:val="001D24D6"/>
    <w:rsid w:val="001F3E9B"/>
    <w:rsid w:val="002151CB"/>
    <w:rsid w:val="00226E0F"/>
    <w:rsid w:val="002719AC"/>
    <w:rsid w:val="002B2008"/>
    <w:rsid w:val="002F76DE"/>
    <w:rsid w:val="003C3793"/>
    <w:rsid w:val="003E5A2A"/>
    <w:rsid w:val="003F3144"/>
    <w:rsid w:val="00415B0C"/>
    <w:rsid w:val="00432AAA"/>
    <w:rsid w:val="004332A3"/>
    <w:rsid w:val="00453A2B"/>
    <w:rsid w:val="0047598A"/>
    <w:rsid w:val="00491A01"/>
    <w:rsid w:val="004C0CCF"/>
    <w:rsid w:val="0050633F"/>
    <w:rsid w:val="0051253E"/>
    <w:rsid w:val="00523DB6"/>
    <w:rsid w:val="0055072E"/>
    <w:rsid w:val="005F54A9"/>
    <w:rsid w:val="005F550A"/>
    <w:rsid w:val="00723AB9"/>
    <w:rsid w:val="00734B49"/>
    <w:rsid w:val="00753849"/>
    <w:rsid w:val="007636C8"/>
    <w:rsid w:val="00773431"/>
    <w:rsid w:val="0079270B"/>
    <w:rsid w:val="0079589B"/>
    <w:rsid w:val="007B53E1"/>
    <w:rsid w:val="007D4F9B"/>
    <w:rsid w:val="00836517"/>
    <w:rsid w:val="00850698"/>
    <w:rsid w:val="008610F3"/>
    <w:rsid w:val="008D2025"/>
    <w:rsid w:val="008E39FA"/>
    <w:rsid w:val="008F0501"/>
    <w:rsid w:val="00956259"/>
    <w:rsid w:val="00967313"/>
    <w:rsid w:val="009918B9"/>
    <w:rsid w:val="00A5074A"/>
    <w:rsid w:val="00A524A2"/>
    <w:rsid w:val="00A53660"/>
    <w:rsid w:val="00A7062F"/>
    <w:rsid w:val="00AE2195"/>
    <w:rsid w:val="00B14C27"/>
    <w:rsid w:val="00B542C6"/>
    <w:rsid w:val="00B6534E"/>
    <w:rsid w:val="00C230CD"/>
    <w:rsid w:val="00C542FE"/>
    <w:rsid w:val="00C5599D"/>
    <w:rsid w:val="00D03A4B"/>
    <w:rsid w:val="00D05D86"/>
    <w:rsid w:val="00D07310"/>
    <w:rsid w:val="00D34985"/>
    <w:rsid w:val="00D359FF"/>
    <w:rsid w:val="00D518A6"/>
    <w:rsid w:val="00D84D78"/>
    <w:rsid w:val="00DA6FC0"/>
    <w:rsid w:val="00DB3D15"/>
    <w:rsid w:val="00DD3A3A"/>
    <w:rsid w:val="00E30349"/>
    <w:rsid w:val="00E511D9"/>
    <w:rsid w:val="00E6387C"/>
    <w:rsid w:val="00E64F8D"/>
    <w:rsid w:val="00E76995"/>
    <w:rsid w:val="00F77F3D"/>
    <w:rsid w:val="00FA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3D9C3"/>
  <w15:chartTrackingRefBased/>
  <w15:docId w15:val="{EF7651A8-453A-440C-9ECA-D5C35774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9270B"/>
    <w:pPr>
      <w:spacing w:after="160" w:line="259" w:lineRule="auto"/>
      <w:ind w:left="720"/>
      <w:contextualSpacing/>
    </w:pPr>
    <w:rPr>
      <w:rFonts w:cstheme="minorBidi"/>
      <w:spacing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ison.jones8@nhs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47%20TEMPLATES\2023%20GMC%20Summary%20and%20Action%20Log%20Template.dotx" TargetMode="External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2023 GMC Summary and Action Log Template</Template>
  <TotalTime>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 Sarah (RBV) NHS Christie Tr</dc:creator>
  <cp:keywords/>
  <dc:description/>
  <cp:lastModifiedBy>JONES, Alison (NHS GREATER MANCHESTER ICB - 01Y)</cp:lastModifiedBy>
  <cp:revision>3</cp:revision>
  <dcterms:created xsi:type="dcterms:W3CDTF">2025-03-25T16:35:00Z</dcterms:created>
  <dcterms:modified xsi:type="dcterms:W3CDTF">2025-03-25T16:43:00Z</dcterms:modified>
</cp:coreProperties>
</file>